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54D" w:rsidRPr="001E5E06" w:rsidRDefault="003B754D">
      <w:pPr>
        <w:rPr>
          <w:b/>
        </w:rPr>
      </w:pPr>
      <w:r w:rsidRPr="001E5E06">
        <w:rPr>
          <w:b/>
        </w:rPr>
        <w:t xml:space="preserve">CONSTRUCTION </w:t>
      </w:r>
      <w:r w:rsidR="00ED6574" w:rsidRPr="001E5E06">
        <w:rPr>
          <w:b/>
        </w:rPr>
        <w:t>PROJECT PROCEDURES</w:t>
      </w:r>
    </w:p>
    <w:p w:rsidR="00ED6574" w:rsidRDefault="00ED6574"/>
    <w:p w:rsidR="00ED6574" w:rsidRDefault="00ED6574" w:rsidP="002702F7"/>
    <w:p w:rsidR="003B754D" w:rsidRDefault="003B754D">
      <w:pPr>
        <w:pStyle w:val="Heading1"/>
      </w:pPr>
      <w:r>
        <w:t>Definition of Construction Work</w:t>
      </w:r>
    </w:p>
    <w:p w:rsidR="003B754D" w:rsidRDefault="003B754D"/>
    <w:p w:rsidR="00ED6574" w:rsidRDefault="003B754D">
      <w:r>
        <w:t>For the purposes of this p</w:t>
      </w:r>
      <w:r w:rsidR="00ED6574">
        <w:t xml:space="preserve">rocedure, </w:t>
      </w:r>
      <w:r>
        <w:t>“construction work” includes all work performed on S</w:t>
      </w:r>
      <w:r w:rsidR="00ED6574">
        <w:t xml:space="preserve">BU property by </w:t>
      </w:r>
      <w:r w:rsidR="00BD7882">
        <w:t xml:space="preserve">SBU and </w:t>
      </w:r>
      <w:r w:rsidR="00ED6574">
        <w:t>non-SBU personnel</w:t>
      </w:r>
      <w:r>
        <w:t xml:space="preserve">, </w:t>
      </w:r>
      <w:r w:rsidR="00ED6574">
        <w:t>as defined in the Construction Management Policy</w:t>
      </w:r>
      <w:r w:rsidR="00BD7882">
        <w:t>.</w:t>
      </w:r>
      <w:r w:rsidR="00ED6574">
        <w:t xml:space="preserve"> </w:t>
      </w:r>
    </w:p>
    <w:p w:rsidR="00ED6574" w:rsidRDefault="00ED6574"/>
    <w:p w:rsidR="00ED6574" w:rsidRDefault="00ED6574">
      <w:r>
        <w:t>Departments arranging for such non-construction work shall make clear to vendors the limitations in allowable work.  The Purchasing Department will furnish, where applicable, an attachment to purchasing documents which includes this information.</w:t>
      </w:r>
    </w:p>
    <w:p w:rsidR="00ED6574" w:rsidRDefault="00ED6574"/>
    <w:p w:rsidR="003B754D" w:rsidRDefault="00ED6574">
      <w:pPr>
        <w:rPr>
          <w:b/>
        </w:rPr>
      </w:pPr>
      <w:r>
        <w:rPr>
          <w:b/>
        </w:rPr>
        <w:t>Requests for Construction Work</w:t>
      </w:r>
    </w:p>
    <w:p w:rsidR="00ED6574" w:rsidRDefault="00ED6574">
      <w:pPr>
        <w:rPr>
          <w:b/>
        </w:rPr>
      </w:pPr>
    </w:p>
    <w:p w:rsidR="003B754D" w:rsidRDefault="00ED6574">
      <w:r>
        <w:t>Departments wishing to arrange for construction activities at SBU shall contact Facilities and describe as fully as possible the nature of the project.  It is always preferable at the outset to define requirements in terms of their objectives rather than limit discussion to a particular detailed plan.</w:t>
      </w:r>
    </w:p>
    <w:p w:rsidR="00ED6574" w:rsidRDefault="00ED6574"/>
    <w:p w:rsidR="00ED6574" w:rsidRDefault="00ED6574">
      <w:r>
        <w:t>No purchases of equipment which require construction work for installation shall be authorized until the entire installation process is defined and priced as described below.</w:t>
      </w:r>
    </w:p>
    <w:p w:rsidR="00ED6574" w:rsidRDefault="00ED6574"/>
    <w:p w:rsidR="00ED6574" w:rsidRDefault="00ED6574">
      <w:r>
        <w:t>Facilities will work as necessary with the requesting department and Facilities staff to develop required plans and cost estimates.  It is necessary to identify sources of funding during the process, in order to avoid spending too much time on projects that may not be practical from a funding standpoint.  Rough preliminary cost estimates may be prepared early in the process by Facilities to assist in this effort, but such estimates are not sufficient to fund or authorize work.</w:t>
      </w:r>
    </w:p>
    <w:p w:rsidR="00ED6574" w:rsidRDefault="00ED6574"/>
    <w:p w:rsidR="00ED6574" w:rsidRDefault="00ED6574">
      <w:r>
        <w:t>Detailed, firm costs generally require input from contractors.  All contacts for this purpos</w:t>
      </w:r>
      <w:r w:rsidR="0097439B">
        <w:t>e will be arranged by Facilities, and will be accompanied by appropriate documentation defining the scope of work.  Projects shall not proceed to formal bidding without written concurrence of the requesting department in the formal definition of the scope of work.</w:t>
      </w:r>
    </w:p>
    <w:p w:rsidR="0097439B" w:rsidRDefault="0097439B"/>
    <w:p w:rsidR="0097439B" w:rsidRDefault="0097439B">
      <w:pPr>
        <w:rPr>
          <w:b/>
        </w:rPr>
      </w:pPr>
      <w:r>
        <w:rPr>
          <w:b/>
        </w:rPr>
        <w:t>Awarding Contracts:  Background</w:t>
      </w:r>
    </w:p>
    <w:p w:rsidR="0097439B" w:rsidRDefault="0097439B">
      <w:pPr>
        <w:rPr>
          <w:b/>
        </w:rPr>
      </w:pPr>
    </w:p>
    <w:p w:rsidR="0097439B" w:rsidRDefault="0097439B">
      <w:r>
        <w:t>Facilities shall recommend to the Vice President for Finance and Administration the form of contract to be used, and the process for obtaining firm prices.  Due consideration shall be given to these principles:</w:t>
      </w:r>
    </w:p>
    <w:p w:rsidR="0097439B" w:rsidRDefault="0097439B"/>
    <w:p w:rsidR="0097439B" w:rsidRDefault="0097439B" w:rsidP="00CA7331">
      <w:pPr>
        <w:pStyle w:val="ListParagraph"/>
        <w:numPr>
          <w:ilvl w:val="1"/>
          <w:numId w:val="11"/>
        </w:numPr>
      </w:pPr>
      <w:r>
        <w:t>The University is not required by law to conduct competitive bidding for every project, but competition is a preferred means of ensuring fair prices.</w:t>
      </w:r>
    </w:p>
    <w:p w:rsidR="0097439B" w:rsidRDefault="0097439B" w:rsidP="00CA7331">
      <w:pPr>
        <w:pStyle w:val="ListParagraph"/>
        <w:numPr>
          <w:ilvl w:val="1"/>
          <w:numId w:val="11"/>
        </w:numPr>
      </w:pPr>
      <w:r>
        <w:lastRenderedPageBreak/>
        <w:t>Competitive bidding for a firm fixed price contract requires an exhaustive set of plans and specifications.  It is not necessarily in the best interests of the University to invest in this process for all projects.</w:t>
      </w:r>
    </w:p>
    <w:p w:rsidR="0097439B" w:rsidRDefault="0097439B" w:rsidP="00CA7331">
      <w:pPr>
        <w:pStyle w:val="ListParagraph"/>
        <w:numPr>
          <w:ilvl w:val="1"/>
          <w:numId w:val="11"/>
        </w:numPr>
      </w:pPr>
      <w:r>
        <w:t>Ordinarily, the lowest fixed price wins the bid, and contractors have a right to expect this.  However, when the contractor is asked to perform a significant amount of design work, then it is appropriate to evaluate proposals on the basis of their technical merits as well.  Proper bidding ethics require that this be made clear to the contractors in advance.  Contractors are considered without respect to the union contract status of their organization.  The University contracts with both union and non-union contractors and selection is based on University criteria focused on the best price and qualifications for the work.</w:t>
      </w:r>
    </w:p>
    <w:p w:rsidR="0097439B" w:rsidRDefault="0097439B" w:rsidP="00CA7331">
      <w:pPr>
        <w:pStyle w:val="ListParagraph"/>
        <w:numPr>
          <w:ilvl w:val="1"/>
          <w:numId w:val="11"/>
        </w:numPr>
      </w:pPr>
      <w:r>
        <w:t>Bidding at SBU is on an “invitation only” basis, restricted to contractors who have proven their qualifications in advance.  This is the primary defense against inferior “low-bid” work.</w:t>
      </w:r>
    </w:p>
    <w:p w:rsidR="0097439B" w:rsidRDefault="0097439B" w:rsidP="00CA7331">
      <w:pPr>
        <w:pStyle w:val="ListParagraph"/>
        <w:numPr>
          <w:ilvl w:val="1"/>
          <w:numId w:val="11"/>
        </w:numPr>
      </w:pPr>
      <w:r>
        <w:t>Certain classes of repetitive work may be performed on contracts that cover more than one project.  This is appropriate when the contractor has a proven track record of satisfactory work and cost consciousness, and where the magnitude of the projects is such that the potential savings from competition do not outweigh the administrative advantages of combining projects.  The preferred method of contracting in this way at SBU includes “Time and Material not to exceed” price quotations.  Except in the case of bona fide emergencies, firm cost proposals are required to undertake construction work.</w:t>
      </w:r>
    </w:p>
    <w:p w:rsidR="0097439B" w:rsidRDefault="0097439B" w:rsidP="00CA7331">
      <w:pPr>
        <w:pStyle w:val="ListParagraph"/>
        <w:numPr>
          <w:ilvl w:val="1"/>
          <w:numId w:val="11"/>
        </w:numPr>
      </w:pPr>
      <w:r>
        <w:t xml:space="preserve">Before awarding work to contractors, full funding for completion of the project (including any contingency </w:t>
      </w:r>
      <w:r w:rsidR="00924611">
        <w:t>recommended by Facilities)</w:t>
      </w:r>
      <w:r w:rsidR="00CA7331">
        <w:t xml:space="preserve"> shall be identified and set aside in accordance with this procedure.</w:t>
      </w:r>
    </w:p>
    <w:p w:rsidR="00CA7331" w:rsidRDefault="00CA7331" w:rsidP="00CA7331">
      <w:pPr>
        <w:pStyle w:val="ListParagraph"/>
        <w:numPr>
          <w:ilvl w:val="1"/>
          <w:numId w:val="11"/>
        </w:numPr>
      </w:pPr>
      <w:r>
        <w:t xml:space="preserve">Final authority for the award of contracts rests with the Vice President for Finance and Administration.  All construction contracts shall be issued to contractors by the office of the Vice President for Finance and Administration.  Technical specifications shall be provided by </w:t>
      </w:r>
      <w:r w:rsidR="00924611">
        <w:t xml:space="preserve">Facilities </w:t>
      </w:r>
      <w:r>
        <w:t>and standard contract terms, including insurance requirements, shall be added by the issuing office.</w:t>
      </w:r>
    </w:p>
    <w:p w:rsidR="001E5E06" w:rsidRDefault="001E5E06" w:rsidP="00CA7331">
      <w:pPr>
        <w:pStyle w:val="ListParagraph"/>
        <w:numPr>
          <w:ilvl w:val="1"/>
          <w:numId w:val="11"/>
        </w:numPr>
      </w:pPr>
      <w:r>
        <w:t>All Large Projects and Medium Sized Projects must include a 10% contingency of the total project cost to take care of unexpected items that may arise during construction.</w:t>
      </w:r>
    </w:p>
    <w:p w:rsidR="00CA7331" w:rsidRDefault="00CA7331"/>
    <w:p w:rsidR="00CA7331" w:rsidRDefault="00CA7331">
      <w:pPr>
        <w:rPr>
          <w:b/>
        </w:rPr>
      </w:pPr>
      <w:r>
        <w:rPr>
          <w:b/>
        </w:rPr>
        <w:t>Awarding Contracts:  Procedure</w:t>
      </w:r>
    </w:p>
    <w:p w:rsidR="00CA7331" w:rsidRDefault="00CA7331">
      <w:pPr>
        <w:rPr>
          <w:b/>
        </w:rPr>
      </w:pPr>
    </w:p>
    <w:p w:rsidR="00CA7331" w:rsidRDefault="00CA7331">
      <w:pPr>
        <w:rPr>
          <w:b/>
        </w:rPr>
      </w:pPr>
      <w:r>
        <w:rPr>
          <w:b/>
        </w:rPr>
        <w:t>Large Projects</w:t>
      </w:r>
    </w:p>
    <w:p w:rsidR="00CA7331" w:rsidRDefault="00CA7331">
      <w:pPr>
        <w:rPr>
          <w:b/>
        </w:rPr>
      </w:pPr>
    </w:p>
    <w:p w:rsidR="00CA7331" w:rsidRDefault="00CA7331">
      <w:r>
        <w:t>Large construction projects are those having a total construction cost greater than $</w:t>
      </w:r>
      <w:r w:rsidR="00BD7882">
        <w:t>1,000</w:t>
      </w:r>
      <w:r>
        <w:t>,000.  These projects are ordinarily contracted using a competitive bid, General Contractor Bid to Spec method, as follows:</w:t>
      </w:r>
    </w:p>
    <w:p w:rsidR="00CA7331" w:rsidRDefault="00CA7331">
      <w:r>
        <w:tab/>
      </w:r>
    </w:p>
    <w:p w:rsidR="00CA7331" w:rsidRDefault="00CA7331" w:rsidP="001975C1">
      <w:pPr>
        <w:pStyle w:val="ListParagraph"/>
        <w:numPr>
          <w:ilvl w:val="1"/>
          <w:numId w:val="13"/>
        </w:numPr>
      </w:pPr>
      <w:r>
        <w:lastRenderedPageBreak/>
        <w:t xml:space="preserve">Selection of Architect/Engineer firm to prepare design documents.  A/E firms shall be selected using a formal RFP, presented to selected invited firms.  An evaluation process under the supervision of the Vice President for Finance and Administration will select the winning firm in accordance with criteria developed for the specific competition, including participation of the functional area affected by or originating the project.  In some </w:t>
      </w:r>
      <w:proofErr w:type="gramStart"/>
      <w:r>
        <w:t>cases</w:t>
      </w:r>
      <w:proofErr w:type="gramEnd"/>
      <w:r>
        <w:t xml:space="preserve"> the A/E may be selected on the basis of former work at the University, when the project under consideration is logically a continuation of that other work.</w:t>
      </w:r>
    </w:p>
    <w:p w:rsidR="00CA7331" w:rsidRDefault="00CA7331" w:rsidP="001975C1">
      <w:pPr>
        <w:pStyle w:val="ListParagraph"/>
        <w:numPr>
          <w:ilvl w:val="1"/>
          <w:numId w:val="13"/>
        </w:numPr>
      </w:pPr>
      <w:r>
        <w:t>In some cases, the A/E function may be performed by SBU staff having the appropriate credentials.  It is recognized, however, that producing detailed specifications for any but the simplest design will likely require more manpower than SBU staff can devote to one project.</w:t>
      </w:r>
    </w:p>
    <w:p w:rsidR="00CA7331" w:rsidRDefault="00CA7331" w:rsidP="001975C1">
      <w:pPr>
        <w:pStyle w:val="ListParagraph"/>
        <w:numPr>
          <w:ilvl w:val="1"/>
          <w:numId w:val="13"/>
        </w:numPr>
      </w:pPr>
      <w:r>
        <w:t>After the preparation of detailed construction documents (plans and specifications), the A/E will assist the University in identifying three or more general contractors from whom to invite bids.  In accordance with American Institute of Architects procedures and forms, a winning contractor will be selected on the basis of the lowest responsive bid.  If additional criteria are involved in the selection, then they shall be a</w:t>
      </w:r>
      <w:r w:rsidR="001975C1">
        <w:t>pproved by the Vice President for Finance and Administration in advance, and shall be made known to the bidders in advance.  The General Contractor will hire subcontractors in the various construction trades.</w:t>
      </w:r>
    </w:p>
    <w:p w:rsidR="001975C1" w:rsidRDefault="001975C1" w:rsidP="001975C1">
      <w:pPr>
        <w:pStyle w:val="ListParagraph"/>
        <w:numPr>
          <w:ilvl w:val="1"/>
          <w:numId w:val="13"/>
        </w:numPr>
      </w:pPr>
      <w:r>
        <w:t>In some cases, the process may be varied by bidding more than one contract to various specialized contractors, as for instance in order to shorten the schedule by bidding the site preparation work in advance of the completion of all design documents.</w:t>
      </w:r>
    </w:p>
    <w:p w:rsidR="001975C1" w:rsidRDefault="001975C1" w:rsidP="001975C1">
      <w:pPr>
        <w:pStyle w:val="ListParagraph"/>
        <w:numPr>
          <w:ilvl w:val="1"/>
          <w:numId w:val="13"/>
        </w:numPr>
      </w:pPr>
      <w:r>
        <w:t>The Vice President for Finance and Administration will approve and sign contract documents, based upon appropriate approval by the President and the Board of Trustees.</w:t>
      </w:r>
    </w:p>
    <w:p w:rsidR="001975C1" w:rsidRDefault="001975C1">
      <w:r>
        <w:tab/>
      </w:r>
    </w:p>
    <w:p w:rsidR="001975C1" w:rsidRDefault="001975C1">
      <w:r>
        <w:t xml:space="preserve">In some cases, as warranted by University needs, alternative modes of competition may be used, including Design-Build (where one entity performs both the design and construction functions, with an agreement as to price early in the process) or Guaranteed Maximum Price (where contractors negotiate a price before the drawings are complete, and share with the University savings below that price). </w:t>
      </w:r>
      <w:proofErr w:type="gramStart"/>
      <w:r>
        <w:t>Typically</w:t>
      </w:r>
      <w:proofErr w:type="gramEnd"/>
      <w:r>
        <w:t xml:space="preserve"> these methods are used where time or budget constraints are particularly significant.  Approval of alternate bidding methods shall be by formal action of the Vice President for Finance and Administration and University President with concurrence from the Board of Trustees Finance Committee.</w:t>
      </w:r>
    </w:p>
    <w:p w:rsidR="001975C1" w:rsidRDefault="001975C1"/>
    <w:p w:rsidR="001975C1" w:rsidRDefault="001975C1">
      <w:pPr>
        <w:rPr>
          <w:b/>
        </w:rPr>
      </w:pPr>
      <w:r>
        <w:rPr>
          <w:b/>
        </w:rPr>
        <w:t>Medium Sized Projects</w:t>
      </w:r>
    </w:p>
    <w:p w:rsidR="001975C1" w:rsidRDefault="001975C1">
      <w:pPr>
        <w:rPr>
          <w:b/>
        </w:rPr>
      </w:pPr>
    </w:p>
    <w:p w:rsidR="001975C1" w:rsidRDefault="001975C1">
      <w:r>
        <w:t>Medium Sized Projects are those with a construction cost between $</w:t>
      </w:r>
      <w:r w:rsidR="00BD7882">
        <w:t>2</w:t>
      </w:r>
      <w:r>
        <w:t>50,000 and $</w:t>
      </w:r>
      <w:r w:rsidR="00BD7882">
        <w:t>1,000</w:t>
      </w:r>
      <w:r>
        <w:t>,</w:t>
      </w:r>
      <w:r w:rsidR="00BD7882">
        <w:t>000</w:t>
      </w:r>
      <w:r>
        <w:t xml:space="preserve">.  In these </w:t>
      </w:r>
      <w:proofErr w:type="gramStart"/>
      <w:r>
        <w:t>cases</w:t>
      </w:r>
      <w:proofErr w:type="gramEnd"/>
      <w:r>
        <w:t xml:space="preserve"> it is possible that the benefits of a fair and formal competition among competent contractors may be outweighed by the costs of producing the necessary </w:t>
      </w:r>
      <w:r>
        <w:lastRenderedPageBreak/>
        <w:t>Construction Documents in sufficient detail to ensure apt price comparison.  Such medium projects may proceed along alternate paths:</w:t>
      </w:r>
    </w:p>
    <w:p w:rsidR="001975C1" w:rsidRDefault="001975C1"/>
    <w:p w:rsidR="001975C1" w:rsidRDefault="001975C1" w:rsidP="00011E66">
      <w:pPr>
        <w:pStyle w:val="ListParagraph"/>
        <w:numPr>
          <w:ilvl w:val="1"/>
          <w:numId w:val="15"/>
        </w:numPr>
      </w:pPr>
      <w:r>
        <w:t>The same process may be used as for Large Projects.  It is acceptable to use only two, rather than 3 or more bidders, if the familiarity of contractors with the work permits a reduction in documents this way.</w:t>
      </w:r>
    </w:p>
    <w:p w:rsidR="001975C1" w:rsidRDefault="001975C1" w:rsidP="00011E66">
      <w:pPr>
        <w:pStyle w:val="ListParagraph"/>
        <w:numPr>
          <w:ilvl w:val="1"/>
          <w:numId w:val="15"/>
        </w:numPr>
      </w:pPr>
      <w:r>
        <w:t>If a written evaluation of the alternatives is made by Facilities and approved by the Vice President for Finance and Administration, then the project cost may be negotiated with a single contractor.  This process is most applicable where the contractor brings significant expertise to the process of dealing the work to be done.  The evaluation of this method shall include sufficient price benchmarking information to provide assurance that the loss of price competition is offset by savings in the design expense.</w:t>
      </w:r>
    </w:p>
    <w:p w:rsidR="001975C1" w:rsidRDefault="00011E66" w:rsidP="00011E66">
      <w:pPr>
        <w:pStyle w:val="ListParagraph"/>
        <w:numPr>
          <w:ilvl w:val="1"/>
          <w:numId w:val="15"/>
        </w:numPr>
      </w:pPr>
      <w:r>
        <w:t>Contracts shall be initiated using Contract Request form provided by the office of the Vice President for Finance and Administration, which provides for insurance requirements and other business conditions current with the University.</w:t>
      </w:r>
    </w:p>
    <w:p w:rsidR="00011E66" w:rsidRDefault="00011E66"/>
    <w:p w:rsidR="00011E66" w:rsidRDefault="00011E66">
      <w:pPr>
        <w:rPr>
          <w:b/>
        </w:rPr>
      </w:pPr>
      <w:r>
        <w:rPr>
          <w:b/>
        </w:rPr>
        <w:t>Small and Service/Maintenance Contracts</w:t>
      </w:r>
    </w:p>
    <w:p w:rsidR="00011E66" w:rsidRDefault="00011E66">
      <w:pPr>
        <w:rPr>
          <w:b/>
        </w:rPr>
      </w:pPr>
    </w:p>
    <w:p w:rsidR="00FB3225" w:rsidRDefault="00FB3225">
      <w:r>
        <w:t>In accordance with University Purchase Policy, small projects are those with a construction cost less than $</w:t>
      </w:r>
      <w:r w:rsidR="00D213B7">
        <w:t>2</w:t>
      </w:r>
      <w:r>
        <w:t>50,000.  Service/Maintenance contracts are agreements made with construction trade contractors for recurring or emergent needs, in which individual tasks do not exceed $</w:t>
      </w:r>
      <w:r w:rsidR="00D213B7">
        <w:t>2</w:t>
      </w:r>
      <w:bookmarkStart w:id="0" w:name="_GoBack"/>
      <w:bookmarkEnd w:id="0"/>
      <w:r>
        <w:t>50,000.</w:t>
      </w:r>
    </w:p>
    <w:p w:rsidR="00FB3225" w:rsidRDefault="00FB3225"/>
    <w:p w:rsidR="00FB3225" w:rsidRDefault="00FB3225" w:rsidP="00FB3225">
      <w:pPr>
        <w:pStyle w:val="ListParagraph"/>
        <w:numPr>
          <w:ilvl w:val="1"/>
          <w:numId w:val="17"/>
        </w:numPr>
      </w:pPr>
      <w:r>
        <w:t>To save design and administrative overhead, it is permissible for the Facilities group to handle small construction projects through existing Service/Maintenance agreements.</w:t>
      </w:r>
    </w:p>
    <w:p w:rsidR="00FB3225" w:rsidRDefault="00FB3225" w:rsidP="00FB3225">
      <w:pPr>
        <w:pStyle w:val="ListParagraph"/>
        <w:numPr>
          <w:ilvl w:val="1"/>
          <w:numId w:val="17"/>
        </w:numPr>
      </w:pPr>
      <w:r>
        <w:t xml:space="preserve">The Service/Maintenance agreements are annually renewed contracts governed by the Facilities Task Order process, and initiated through the Contract Request Form as above.  Such contracts are awarded on the basis of proven and continuing performance by the contractor.  </w:t>
      </w:r>
      <w:proofErr w:type="gramStart"/>
      <w:r>
        <w:t>Generally</w:t>
      </w:r>
      <w:proofErr w:type="gramEnd"/>
      <w:r>
        <w:t xml:space="preserve"> they take advantage of a particular contractor’s familiarity with the University systems and facilities, and of the contractor’s ability to mobilize efficiently from a local or nearby business location.</w:t>
      </w:r>
    </w:p>
    <w:p w:rsidR="00FB3225" w:rsidRDefault="00FB3225" w:rsidP="00FB3225">
      <w:pPr>
        <w:pStyle w:val="ListParagraph"/>
        <w:numPr>
          <w:ilvl w:val="1"/>
          <w:numId w:val="17"/>
        </w:numPr>
      </w:pPr>
      <w:r>
        <w:t>The award of Service/Maintenance contracts will be reviewed in writing on a five-year cycle for each contract.  The Facilities group will endeavor to promote competition for this work by seeking alternate suppliers, and in some cases more than one simultaneous contract for a particular type of work.</w:t>
      </w:r>
    </w:p>
    <w:p w:rsidR="00FB3225" w:rsidRDefault="00FB3225"/>
    <w:p w:rsidR="001E5E06" w:rsidRDefault="001E5E06">
      <w:pPr>
        <w:rPr>
          <w:b/>
        </w:rPr>
      </w:pPr>
    </w:p>
    <w:p w:rsidR="001E5E06" w:rsidRDefault="001E5E06">
      <w:pPr>
        <w:rPr>
          <w:b/>
        </w:rPr>
      </w:pPr>
    </w:p>
    <w:p w:rsidR="001E5E06" w:rsidRDefault="001E5E06">
      <w:pPr>
        <w:rPr>
          <w:b/>
        </w:rPr>
      </w:pPr>
    </w:p>
    <w:p w:rsidR="001E5E06" w:rsidRDefault="001E5E06">
      <w:pPr>
        <w:rPr>
          <w:b/>
        </w:rPr>
      </w:pPr>
    </w:p>
    <w:p w:rsidR="00FB3225" w:rsidRDefault="00FB3225">
      <w:r>
        <w:rPr>
          <w:b/>
        </w:rPr>
        <w:lastRenderedPageBreak/>
        <w:t xml:space="preserve">Administration of Contracts </w:t>
      </w:r>
      <w:r>
        <w:t>[and stop-work]</w:t>
      </w:r>
    </w:p>
    <w:p w:rsidR="00FB3225" w:rsidRDefault="00FB3225"/>
    <w:p w:rsidR="00FB3225" w:rsidRDefault="00FB3225">
      <w:r>
        <w:t>Contracts, once awarded, shall be administered by the Facilities Department.  Inspections shall be made as the work progresses in order to ensure proper and safe execution of the contract.</w:t>
      </w:r>
    </w:p>
    <w:p w:rsidR="00FB3225" w:rsidRDefault="00FB3225"/>
    <w:p w:rsidR="00FB3225" w:rsidRDefault="00FB3225">
      <w:r>
        <w:t>Any changes in the scope of work or price shall be documented with formal change orders.  Those affecting the finished product shall be discussed with the customer department for approval.  No change requests, verbal or in writing, can be entertained except by consultation with the contract administrator.  Other University personnel are not permitted to interfere with the work in progress.</w:t>
      </w:r>
    </w:p>
    <w:p w:rsidR="00FB3225" w:rsidRDefault="00FB3225"/>
    <w:p w:rsidR="00FB3225" w:rsidRDefault="00FB3225">
      <w:r>
        <w:t>SBU reserves the right to enforce safety requirements anywhere on SBU property, whether to protect SBU property, the SBU community, or contractor’s own workers.  Contracts shall contain a provision for stop-work orders issued by Facilities.</w:t>
      </w:r>
    </w:p>
    <w:p w:rsidR="00FB3225" w:rsidRDefault="00FB3225"/>
    <w:p w:rsidR="00FB3225" w:rsidRDefault="00FB3225">
      <w:pPr>
        <w:rPr>
          <w:b/>
        </w:rPr>
      </w:pPr>
      <w:r>
        <w:rPr>
          <w:b/>
        </w:rPr>
        <w:t>Payment</w:t>
      </w:r>
    </w:p>
    <w:p w:rsidR="00FB3225" w:rsidRDefault="00FB3225">
      <w:pPr>
        <w:rPr>
          <w:b/>
        </w:rPr>
      </w:pPr>
    </w:p>
    <w:p w:rsidR="00FB3225" w:rsidRDefault="00FB3225">
      <w:r>
        <w:t>Contractors shall be paid only after satisfactorily completion of the work is verified by Facilities.  Progress payments, if permitted by the contract, shall be made only for portions of the work similarly completed and verified.  Payment authorization is the responsibility of Facilities.  Authorization for payments to contractors does not rest with the requesting department, even if departmental funds are the sources of project funding.</w:t>
      </w:r>
    </w:p>
    <w:p w:rsidR="00FB3225" w:rsidRDefault="00FB3225"/>
    <w:p w:rsidR="00FB3225" w:rsidRDefault="00FB3225">
      <w:pPr>
        <w:rPr>
          <w:b/>
        </w:rPr>
      </w:pPr>
      <w:r>
        <w:rPr>
          <w:b/>
        </w:rPr>
        <w:t>Special Arrangements</w:t>
      </w:r>
    </w:p>
    <w:p w:rsidR="00FB3225" w:rsidRDefault="00FB3225">
      <w:pPr>
        <w:rPr>
          <w:b/>
        </w:rPr>
      </w:pPr>
    </w:p>
    <w:p w:rsidR="00FB3225" w:rsidRDefault="00FB3225">
      <w:r>
        <w:t>There may arise circumstances in which the routine administration of some construction activities, as defined here, may be delegated to other departments under a defined exemption.  Such delegations shall be documented in writing.  In such cases, both the delegated department and Finance and Administration personnel shall oversee work as needed to ensure that contract personnel perform within the agreed guidelines.  Stop-work order responsibility as described above shall not be diminished by such exemptions.  Examples of such delegation include arrangements with Tech Services for communication wiring, with Special Events for erecting tents</w:t>
      </w:r>
      <w:r w:rsidR="009E36B4">
        <w:t xml:space="preserve">, and with the Reilly Center and Richter Center in reference to gym floor </w:t>
      </w:r>
      <w:r w:rsidR="00203AE4">
        <w:t>maintenance</w:t>
      </w:r>
      <w:r>
        <w:t xml:space="preserve"> – each under defined guidelines which include appropriate contacts with Facilities and contract authorization by the Vice President for Finance and Administration.</w:t>
      </w:r>
    </w:p>
    <w:p w:rsidR="00FB3225" w:rsidRDefault="00FB3225"/>
    <w:sectPr w:rsidR="00FB3225" w:rsidSect="001E5E0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06" w:rsidRDefault="001E5E06" w:rsidP="001E5E06">
      <w:r>
        <w:separator/>
      </w:r>
    </w:p>
  </w:endnote>
  <w:endnote w:type="continuationSeparator" w:id="0">
    <w:p w:rsidR="001E5E06" w:rsidRDefault="001E5E06" w:rsidP="001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479059"/>
      <w:docPartObj>
        <w:docPartGallery w:val="Page Numbers (Bottom of Page)"/>
        <w:docPartUnique/>
      </w:docPartObj>
    </w:sdtPr>
    <w:sdtEndPr>
      <w:rPr>
        <w:noProof/>
      </w:rPr>
    </w:sdtEndPr>
    <w:sdtContent>
      <w:p w:rsidR="001E5E06" w:rsidRDefault="001E5E06">
        <w:pPr>
          <w:pStyle w:val="Footer"/>
          <w:jc w:val="center"/>
        </w:pPr>
        <w:r>
          <w:fldChar w:fldCharType="begin"/>
        </w:r>
        <w:r>
          <w:instrText xml:space="preserve"> PAGE   \* MERGEFORMAT </w:instrText>
        </w:r>
        <w:r>
          <w:fldChar w:fldCharType="separate"/>
        </w:r>
        <w:r w:rsidR="00B1337B">
          <w:rPr>
            <w:noProof/>
          </w:rPr>
          <w:t>2</w:t>
        </w:r>
        <w:r>
          <w:rPr>
            <w:noProof/>
          </w:rPr>
          <w:fldChar w:fldCharType="end"/>
        </w:r>
      </w:p>
    </w:sdtContent>
  </w:sdt>
  <w:p w:rsidR="001E5E06" w:rsidRDefault="001E5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06" w:rsidRDefault="001E5E06" w:rsidP="001E5E06">
      <w:r>
        <w:separator/>
      </w:r>
    </w:p>
  </w:footnote>
  <w:footnote w:type="continuationSeparator" w:id="0">
    <w:p w:rsidR="001E5E06" w:rsidRDefault="001E5E06" w:rsidP="001E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2A59"/>
    <w:multiLevelType w:val="hybridMultilevel"/>
    <w:tmpl w:val="B100E8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E1B5F"/>
    <w:multiLevelType w:val="hybridMultilevel"/>
    <w:tmpl w:val="858A9C3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01D6"/>
    <w:multiLevelType w:val="hybridMultilevel"/>
    <w:tmpl w:val="263C1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452F6"/>
    <w:multiLevelType w:val="hybridMultilevel"/>
    <w:tmpl w:val="2C5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47543"/>
    <w:multiLevelType w:val="hybridMultilevel"/>
    <w:tmpl w:val="1554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50C4"/>
    <w:multiLevelType w:val="hybridMultilevel"/>
    <w:tmpl w:val="7C44B11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77E77"/>
    <w:multiLevelType w:val="hybridMultilevel"/>
    <w:tmpl w:val="279CF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27644"/>
    <w:multiLevelType w:val="hybridMultilevel"/>
    <w:tmpl w:val="E09AE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97ABD"/>
    <w:multiLevelType w:val="hybridMultilevel"/>
    <w:tmpl w:val="A2C87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B62D03"/>
    <w:multiLevelType w:val="hybridMultilevel"/>
    <w:tmpl w:val="F8F69F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E3F4F"/>
    <w:multiLevelType w:val="hybridMultilevel"/>
    <w:tmpl w:val="D592E5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396561"/>
    <w:multiLevelType w:val="hybridMultilevel"/>
    <w:tmpl w:val="F73C77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347C8"/>
    <w:multiLevelType w:val="hybridMultilevel"/>
    <w:tmpl w:val="181EC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94070"/>
    <w:multiLevelType w:val="hybridMultilevel"/>
    <w:tmpl w:val="A5BED68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D1F"/>
    <w:multiLevelType w:val="hybridMultilevel"/>
    <w:tmpl w:val="9AECD73A"/>
    <w:lvl w:ilvl="0" w:tplc="B5C4A3E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D31859"/>
    <w:multiLevelType w:val="hybridMultilevel"/>
    <w:tmpl w:val="65FAC34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EB32BB"/>
    <w:multiLevelType w:val="hybridMultilevel"/>
    <w:tmpl w:val="81C02C74"/>
    <w:lvl w:ilvl="0" w:tplc="7BD05D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8"/>
  </w:num>
  <w:num w:numId="4">
    <w:abstractNumId w:val="16"/>
  </w:num>
  <w:num w:numId="5">
    <w:abstractNumId w:val="3"/>
  </w:num>
  <w:num w:numId="6">
    <w:abstractNumId w:val="4"/>
  </w:num>
  <w:num w:numId="7">
    <w:abstractNumId w:val="6"/>
  </w:num>
  <w:num w:numId="8">
    <w:abstractNumId w:val="7"/>
  </w:num>
  <w:num w:numId="9">
    <w:abstractNumId w:val="2"/>
  </w:num>
  <w:num w:numId="10">
    <w:abstractNumId w:val="12"/>
  </w:num>
  <w:num w:numId="11">
    <w:abstractNumId w:val="5"/>
  </w:num>
  <w:num w:numId="12">
    <w:abstractNumId w:val="0"/>
  </w:num>
  <w:num w:numId="13">
    <w:abstractNumId w:val="1"/>
  </w:num>
  <w:num w:numId="14">
    <w:abstractNumId w:val="9"/>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42"/>
    <w:rsid w:val="00011E66"/>
    <w:rsid w:val="00025BB5"/>
    <w:rsid w:val="000711B7"/>
    <w:rsid w:val="001975C1"/>
    <w:rsid w:val="001D372F"/>
    <w:rsid w:val="001E5E06"/>
    <w:rsid w:val="00203AE4"/>
    <w:rsid w:val="00217472"/>
    <w:rsid w:val="002702F7"/>
    <w:rsid w:val="003213BA"/>
    <w:rsid w:val="003B754D"/>
    <w:rsid w:val="003D63B8"/>
    <w:rsid w:val="004951DF"/>
    <w:rsid w:val="0053480A"/>
    <w:rsid w:val="005A76E6"/>
    <w:rsid w:val="006821A8"/>
    <w:rsid w:val="006B416F"/>
    <w:rsid w:val="00773C89"/>
    <w:rsid w:val="0085147C"/>
    <w:rsid w:val="008D3F90"/>
    <w:rsid w:val="00924611"/>
    <w:rsid w:val="009549E0"/>
    <w:rsid w:val="0097439B"/>
    <w:rsid w:val="009B5BBE"/>
    <w:rsid w:val="009E36B4"/>
    <w:rsid w:val="00B1337B"/>
    <w:rsid w:val="00BD7882"/>
    <w:rsid w:val="00BE0285"/>
    <w:rsid w:val="00C9283A"/>
    <w:rsid w:val="00CA7331"/>
    <w:rsid w:val="00D20B14"/>
    <w:rsid w:val="00D213B7"/>
    <w:rsid w:val="00D82442"/>
    <w:rsid w:val="00ED6574"/>
    <w:rsid w:val="00EF15F5"/>
    <w:rsid w:val="00F35F86"/>
    <w:rsid w:val="00FB3225"/>
    <w:rsid w:val="00FC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B380F"/>
  <w15:chartTrackingRefBased/>
  <w15:docId w15:val="{0C4D077B-659C-4817-BBA3-8C6C021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89"/>
    <w:pPr>
      <w:ind w:left="720"/>
      <w:contextualSpacing/>
    </w:pPr>
    <w:rPr>
      <w:rFonts w:eastAsia="Calibri"/>
      <w:lang w:bidi="en-US"/>
    </w:rPr>
  </w:style>
  <w:style w:type="paragraph" w:styleId="BalloonText">
    <w:name w:val="Balloon Text"/>
    <w:basedOn w:val="Normal"/>
    <w:link w:val="BalloonTextChar"/>
    <w:uiPriority w:val="99"/>
    <w:semiHidden/>
    <w:unhideWhenUsed/>
    <w:rsid w:val="00851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7C"/>
    <w:rPr>
      <w:rFonts w:ascii="Segoe UI" w:hAnsi="Segoe UI" w:cs="Segoe UI"/>
      <w:sz w:val="18"/>
      <w:szCs w:val="18"/>
    </w:rPr>
  </w:style>
  <w:style w:type="paragraph" w:styleId="Header">
    <w:name w:val="header"/>
    <w:basedOn w:val="Normal"/>
    <w:link w:val="HeaderChar"/>
    <w:uiPriority w:val="99"/>
    <w:unhideWhenUsed/>
    <w:rsid w:val="001E5E06"/>
    <w:pPr>
      <w:tabs>
        <w:tab w:val="center" w:pos="4680"/>
        <w:tab w:val="right" w:pos="9360"/>
      </w:tabs>
    </w:pPr>
  </w:style>
  <w:style w:type="character" w:customStyle="1" w:styleId="HeaderChar">
    <w:name w:val="Header Char"/>
    <w:basedOn w:val="DefaultParagraphFont"/>
    <w:link w:val="Header"/>
    <w:uiPriority w:val="99"/>
    <w:rsid w:val="001E5E06"/>
    <w:rPr>
      <w:sz w:val="24"/>
      <w:szCs w:val="24"/>
    </w:rPr>
  </w:style>
  <w:style w:type="paragraph" w:styleId="Footer">
    <w:name w:val="footer"/>
    <w:basedOn w:val="Normal"/>
    <w:link w:val="FooterChar"/>
    <w:uiPriority w:val="99"/>
    <w:unhideWhenUsed/>
    <w:rsid w:val="001E5E06"/>
    <w:pPr>
      <w:tabs>
        <w:tab w:val="center" w:pos="4680"/>
        <w:tab w:val="right" w:pos="9360"/>
      </w:tabs>
    </w:pPr>
  </w:style>
  <w:style w:type="character" w:customStyle="1" w:styleId="FooterChar">
    <w:name w:val="Footer Char"/>
    <w:basedOn w:val="DefaultParagraphFont"/>
    <w:link w:val="Footer"/>
    <w:uiPriority w:val="99"/>
    <w:rsid w:val="001E5E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AD9CA-A594-447D-942E-CD614014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1872</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CONSTRUCTION MANAGEMENT</vt:lpstr>
    </vt:vector>
  </TitlesOfParts>
  <Company>SBU</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dc:title>
  <dc:subject/>
  <dc:creator>Phil Winger</dc:creator>
  <cp:keywords/>
  <cp:lastModifiedBy>Hungerford, H. Daniel</cp:lastModifiedBy>
  <cp:revision>3</cp:revision>
  <cp:lastPrinted>2023-05-01T13:11:00Z</cp:lastPrinted>
  <dcterms:created xsi:type="dcterms:W3CDTF">2023-05-01T13:13:00Z</dcterms:created>
  <dcterms:modified xsi:type="dcterms:W3CDTF">2023-05-01T13:21:00Z</dcterms:modified>
</cp:coreProperties>
</file>